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8" w:type="dxa"/>
        <w:tblLayout w:type="fixed"/>
        <w:tblLook w:val="0000" w:firstRow="0" w:lastRow="0" w:firstColumn="0" w:lastColumn="0" w:noHBand="0" w:noVBand="0"/>
      </w:tblPr>
      <w:tblGrid>
        <w:gridCol w:w="1111"/>
        <w:gridCol w:w="2699"/>
        <w:gridCol w:w="630"/>
        <w:gridCol w:w="1917"/>
      </w:tblGrid>
      <w:tr w:rsidR="00B61085" w:rsidTr="00B61085">
        <w:tblPrEx>
          <w:tblCellMar>
            <w:top w:w="0" w:type="dxa"/>
            <w:bottom w:w="0" w:type="dxa"/>
          </w:tblCellMar>
        </w:tblPrEx>
        <w:trPr>
          <w:trHeight w:val="290"/>
        </w:trPr>
        <w:tc>
          <w:tcPr>
            <w:tcW w:w="4440" w:type="dxa"/>
            <w:gridSpan w:val="3"/>
            <w:tcBorders>
              <w:top w:val="nil"/>
              <w:left w:val="nil"/>
              <w:bottom w:val="single" w:sz="6" w:space="0" w:color="auto"/>
              <w:right w:val="nil"/>
            </w:tcBorders>
          </w:tcPr>
          <w:p w:rsidR="00B61085" w:rsidRDefault="00B61085">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Core C</w:t>
            </w:r>
            <w:r w:rsidR="006C2BED">
              <w:rPr>
                <w:rFonts w:ascii="Calibri" w:hAnsi="Calibri" w:cs="Calibri"/>
                <w:b/>
                <w:bCs/>
                <w:color w:val="000000"/>
              </w:rPr>
              <w:t>ompetency Identification Legend</w:t>
            </w:r>
          </w:p>
        </w:tc>
        <w:tc>
          <w:tcPr>
            <w:tcW w:w="1917" w:type="dxa"/>
            <w:tcBorders>
              <w:top w:val="nil"/>
              <w:left w:val="nil"/>
              <w:bottom w:val="single" w:sz="6" w:space="0" w:color="auto"/>
              <w:right w:val="nil"/>
            </w:tcBorders>
          </w:tcPr>
          <w:p w:rsidR="00B61085" w:rsidRDefault="00B61085">
            <w:pPr>
              <w:autoSpaceDE w:val="0"/>
              <w:autoSpaceDN w:val="0"/>
              <w:adjustRightInd w:val="0"/>
              <w:spacing w:after="0" w:line="240" w:lineRule="auto"/>
              <w:jc w:val="center"/>
              <w:rPr>
                <w:rFonts w:ascii="Calibri" w:hAnsi="Calibri" w:cs="Calibri"/>
                <w:b/>
                <w:bCs/>
                <w:color w:val="000000"/>
              </w:rPr>
            </w:pPr>
          </w:p>
        </w:tc>
      </w:tr>
      <w:tr w:rsidR="00B61085" w:rsidTr="00B61085">
        <w:tblPrEx>
          <w:tblCellMar>
            <w:top w:w="0" w:type="dxa"/>
            <w:bottom w:w="0" w:type="dxa"/>
          </w:tblCellMar>
        </w:tblPrEx>
        <w:trPr>
          <w:trHeight w:val="290"/>
        </w:trPr>
        <w:tc>
          <w:tcPr>
            <w:tcW w:w="1111" w:type="dxa"/>
            <w:tcBorders>
              <w:top w:val="single" w:sz="6" w:space="0" w:color="auto"/>
              <w:left w:val="single" w:sz="6" w:space="0" w:color="auto"/>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WC</w:t>
            </w:r>
          </w:p>
        </w:tc>
        <w:tc>
          <w:tcPr>
            <w:tcW w:w="3329" w:type="dxa"/>
            <w:gridSpan w:val="2"/>
            <w:tcBorders>
              <w:top w:val="single" w:sz="6" w:space="0" w:color="auto"/>
              <w:left w:val="nil"/>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Written Communication</w:t>
            </w:r>
          </w:p>
        </w:tc>
        <w:tc>
          <w:tcPr>
            <w:tcW w:w="1917" w:type="dxa"/>
            <w:tcBorders>
              <w:top w:val="single" w:sz="6" w:space="0" w:color="auto"/>
              <w:left w:val="nil"/>
              <w:bottom w:val="nil"/>
              <w:right w:val="single" w:sz="6" w:space="0" w:color="auto"/>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r>
      <w:tr w:rsidR="00B61085" w:rsidTr="00B61085">
        <w:tblPrEx>
          <w:tblCellMar>
            <w:top w:w="0" w:type="dxa"/>
            <w:bottom w:w="0" w:type="dxa"/>
          </w:tblCellMar>
        </w:tblPrEx>
        <w:trPr>
          <w:trHeight w:val="290"/>
        </w:trPr>
        <w:tc>
          <w:tcPr>
            <w:tcW w:w="1111" w:type="dxa"/>
            <w:tcBorders>
              <w:top w:val="nil"/>
              <w:left w:val="single" w:sz="6" w:space="0" w:color="auto"/>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OC</w:t>
            </w:r>
          </w:p>
        </w:tc>
        <w:tc>
          <w:tcPr>
            <w:tcW w:w="2699" w:type="dxa"/>
            <w:tcBorders>
              <w:top w:val="nil"/>
              <w:left w:val="nil"/>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Oral Communication</w:t>
            </w:r>
          </w:p>
        </w:tc>
        <w:tc>
          <w:tcPr>
            <w:tcW w:w="630" w:type="dxa"/>
            <w:tcBorders>
              <w:top w:val="nil"/>
              <w:left w:val="nil"/>
              <w:bottom w:val="nil"/>
              <w:right w:val="nil"/>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c>
          <w:tcPr>
            <w:tcW w:w="1917" w:type="dxa"/>
            <w:tcBorders>
              <w:top w:val="nil"/>
              <w:left w:val="nil"/>
              <w:bottom w:val="nil"/>
              <w:right w:val="single" w:sz="6" w:space="0" w:color="auto"/>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r>
      <w:tr w:rsidR="00B61085" w:rsidTr="00B61085">
        <w:tblPrEx>
          <w:tblCellMar>
            <w:top w:w="0" w:type="dxa"/>
            <w:bottom w:w="0" w:type="dxa"/>
          </w:tblCellMar>
        </w:tblPrEx>
        <w:trPr>
          <w:trHeight w:val="290"/>
        </w:trPr>
        <w:tc>
          <w:tcPr>
            <w:tcW w:w="1111" w:type="dxa"/>
            <w:tcBorders>
              <w:top w:val="nil"/>
              <w:left w:val="single" w:sz="6" w:space="0" w:color="auto"/>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PS</w:t>
            </w:r>
          </w:p>
        </w:tc>
        <w:tc>
          <w:tcPr>
            <w:tcW w:w="2699" w:type="dxa"/>
            <w:tcBorders>
              <w:top w:val="nil"/>
              <w:left w:val="nil"/>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Problem Solving</w:t>
            </w:r>
          </w:p>
        </w:tc>
        <w:tc>
          <w:tcPr>
            <w:tcW w:w="630" w:type="dxa"/>
            <w:tcBorders>
              <w:top w:val="nil"/>
              <w:left w:val="nil"/>
              <w:bottom w:val="nil"/>
              <w:right w:val="nil"/>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c>
          <w:tcPr>
            <w:tcW w:w="1917" w:type="dxa"/>
            <w:tcBorders>
              <w:top w:val="nil"/>
              <w:left w:val="nil"/>
              <w:bottom w:val="nil"/>
              <w:right w:val="single" w:sz="6" w:space="0" w:color="auto"/>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r>
      <w:tr w:rsidR="00B61085" w:rsidTr="00B61085">
        <w:tblPrEx>
          <w:tblCellMar>
            <w:top w:w="0" w:type="dxa"/>
            <w:bottom w:w="0" w:type="dxa"/>
          </w:tblCellMar>
        </w:tblPrEx>
        <w:trPr>
          <w:trHeight w:val="290"/>
        </w:trPr>
        <w:tc>
          <w:tcPr>
            <w:tcW w:w="1111" w:type="dxa"/>
            <w:tcBorders>
              <w:top w:val="nil"/>
              <w:left w:val="single" w:sz="6" w:space="0" w:color="auto"/>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RL</w:t>
            </w:r>
          </w:p>
        </w:tc>
        <w:tc>
          <w:tcPr>
            <w:tcW w:w="3329" w:type="dxa"/>
            <w:gridSpan w:val="2"/>
            <w:tcBorders>
              <w:top w:val="nil"/>
              <w:left w:val="nil"/>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Research and Information Literacy</w:t>
            </w:r>
          </w:p>
        </w:tc>
        <w:tc>
          <w:tcPr>
            <w:tcW w:w="1917" w:type="dxa"/>
            <w:tcBorders>
              <w:top w:val="nil"/>
              <w:left w:val="nil"/>
              <w:bottom w:val="nil"/>
              <w:right w:val="single" w:sz="6" w:space="0" w:color="auto"/>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bookmarkStart w:id="0" w:name="_GoBack"/>
        <w:bookmarkEnd w:id="0"/>
      </w:tr>
      <w:tr w:rsidR="00B61085" w:rsidTr="00B61085">
        <w:tblPrEx>
          <w:tblCellMar>
            <w:top w:w="0" w:type="dxa"/>
            <w:bottom w:w="0" w:type="dxa"/>
          </w:tblCellMar>
        </w:tblPrEx>
        <w:trPr>
          <w:trHeight w:val="290"/>
        </w:trPr>
        <w:tc>
          <w:tcPr>
            <w:tcW w:w="1111" w:type="dxa"/>
            <w:tcBorders>
              <w:top w:val="nil"/>
              <w:left w:val="single" w:sz="6" w:space="0" w:color="auto"/>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PG</w:t>
            </w:r>
          </w:p>
        </w:tc>
        <w:tc>
          <w:tcPr>
            <w:tcW w:w="2699" w:type="dxa"/>
            <w:tcBorders>
              <w:top w:val="nil"/>
              <w:left w:val="nil"/>
              <w:bottom w:val="nil"/>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Personal Growth</w:t>
            </w:r>
          </w:p>
        </w:tc>
        <w:tc>
          <w:tcPr>
            <w:tcW w:w="630" w:type="dxa"/>
            <w:tcBorders>
              <w:top w:val="nil"/>
              <w:left w:val="nil"/>
              <w:bottom w:val="nil"/>
              <w:right w:val="nil"/>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c>
          <w:tcPr>
            <w:tcW w:w="1917" w:type="dxa"/>
            <w:tcBorders>
              <w:top w:val="nil"/>
              <w:left w:val="nil"/>
              <w:bottom w:val="nil"/>
              <w:right w:val="single" w:sz="6" w:space="0" w:color="auto"/>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r>
      <w:tr w:rsidR="00B61085" w:rsidTr="00B61085">
        <w:tblPrEx>
          <w:tblCellMar>
            <w:top w:w="0" w:type="dxa"/>
            <w:bottom w:w="0" w:type="dxa"/>
          </w:tblCellMar>
        </w:tblPrEx>
        <w:trPr>
          <w:trHeight w:val="290"/>
        </w:trPr>
        <w:tc>
          <w:tcPr>
            <w:tcW w:w="1111" w:type="dxa"/>
            <w:tcBorders>
              <w:top w:val="nil"/>
              <w:left w:val="single" w:sz="6" w:space="0" w:color="auto"/>
              <w:bottom w:val="single" w:sz="6" w:space="0" w:color="auto"/>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GC</w:t>
            </w:r>
          </w:p>
        </w:tc>
        <w:tc>
          <w:tcPr>
            <w:tcW w:w="3329" w:type="dxa"/>
            <w:gridSpan w:val="2"/>
            <w:tcBorders>
              <w:top w:val="nil"/>
              <w:left w:val="nil"/>
              <w:bottom w:val="single" w:sz="6" w:space="0" w:color="auto"/>
              <w:right w:val="nil"/>
            </w:tcBorders>
            <w:shd w:val="solid" w:color="FFFF00" w:fill="auto"/>
          </w:tcPr>
          <w:p w:rsidR="00B61085" w:rsidRDefault="00B61085">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Global and Cultural Awareness</w:t>
            </w:r>
          </w:p>
        </w:tc>
        <w:tc>
          <w:tcPr>
            <w:tcW w:w="1917" w:type="dxa"/>
            <w:tcBorders>
              <w:top w:val="nil"/>
              <w:left w:val="nil"/>
              <w:bottom w:val="single" w:sz="6" w:space="0" w:color="auto"/>
              <w:right w:val="single" w:sz="6" w:space="0" w:color="auto"/>
            </w:tcBorders>
            <w:shd w:val="solid" w:color="FFFF00" w:fill="auto"/>
          </w:tcPr>
          <w:p w:rsidR="00B61085" w:rsidRDefault="00B61085">
            <w:pPr>
              <w:autoSpaceDE w:val="0"/>
              <w:autoSpaceDN w:val="0"/>
              <w:adjustRightInd w:val="0"/>
              <w:spacing w:after="0" w:line="240" w:lineRule="auto"/>
              <w:jc w:val="right"/>
              <w:rPr>
                <w:rFonts w:ascii="Calibri" w:hAnsi="Calibri" w:cs="Calibri"/>
                <w:b/>
                <w:bCs/>
                <w:color w:val="000000"/>
                <w:sz w:val="20"/>
                <w:szCs w:val="20"/>
              </w:rPr>
            </w:pPr>
          </w:p>
        </w:tc>
      </w:tr>
    </w:tbl>
    <w:p w:rsidR="00B61085" w:rsidRDefault="00B61085" w:rsidP="00B61085">
      <w:pPr>
        <w:spacing w:after="0"/>
        <w:jc w:val="right"/>
        <w:rPr>
          <w:rFonts w:ascii="Times New Roman" w:hAnsi="Times New Roman"/>
          <w:b/>
          <w:sz w:val="24"/>
          <w:szCs w:val="24"/>
        </w:rPr>
      </w:pPr>
    </w:p>
    <w:p w:rsidR="0035240C" w:rsidRDefault="0035240C" w:rsidP="0035240C">
      <w:pPr>
        <w:spacing w:after="0"/>
        <w:rPr>
          <w:rFonts w:ascii="Times New Roman" w:hAnsi="Times New Roman"/>
          <w:sz w:val="24"/>
          <w:szCs w:val="24"/>
        </w:rPr>
      </w:pPr>
      <w:r>
        <w:rPr>
          <w:rFonts w:ascii="Times New Roman" w:hAnsi="Times New Roman"/>
          <w:b/>
          <w:sz w:val="24"/>
          <w:szCs w:val="24"/>
        </w:rPr>
        <w:t>Communication Core Competency</w:t>
      </w:r>
    </w:p>
    <w:p w:rsidR="0035240C" w:rsidRDefault="0035240C" w:rsidP="0035240C">
      <w:pPr>
        <w:rPr>
          <w:rFonts w:ascii="Times New Roman" w:hAnsi="Times New Roman"/>
          <w:sz w:val="24"/>
          <w:szCs w:val="24"/>
        </w:rPr>
      </w:pPr>
      <w:r w:rsidRPr="00B80AEF">
        <w:rPr>
          <w:rFonts w:ascii="Times New Roman" w:hAnsi="Times New Roman"/>
          <w:sz w:val="24"/>
          <w:szCs w:val="24"/>
        </w:rPr>
        <w:t>SCC graduates will communicate ideas, perspectives, and values while demonstrating mast</w:t>
      </w:r>
      <w:r>
        <w:rPr>
          <w:rFonts w:ascii="Times New Roman" w:hAnsi="Times New Roman"/>
          <w:sz w:val="24"/>
          <w:szCs w:val="24"/>
        </w:rPr>
        <w:t xml:space="preserve">ery of Standard English in </w:t>
      </w:r>
      <w:r w:rsidRPr="00B80AEF">
        <w:rPr>
          <w:rFonts w:ascii="Times New Roman" w:hAnsi="Times New Roman"/>
          <w:sz w:val="24"/>
          <w:szCs w:val="24"/>
        </w:rPr>
        <w:t>written</w:t>
      </w:r>
      <w:r>
        <w:rPr>
          <w:rFonts w:ascii="Times New Roman" w:hAnsi="Times New Roman"/>
          <w:sz w:val="24"/>
          <w:szCs w:val="24"/>
        </w:rPr>
        <w:t>, oral</w:t>
      </w:r>
      <w:r w:rsidRPr="00B80AEF">
        <w:rPr>
          <w:rFonts w:ascii="Times New Roman" w:hAnsi="Times New Roman"/>
          <w:sz w:val="24"/>
          <w:szCs w:val="24"/>
        </w:rPr>
        <w:t xml:space="preserve"> and </w:t>
      </w:r>
      <w:r>
        <w:rPr>
          <w:rFonts w:ascii="Times New Roman" w:hAnsi="Times New Roman"/>
          <w:sz w:val="24"/>
          <w:szCs w:val="24"/>
        </w:rPr>
        <w:t>visual</w:t>
      </w:r>
      <w:r w:rsidRPr="00B80AEF">
        <w:rPr>
          <w:rFonts w:ascii="Times New Roman" w:hAnsi="Times New Roman"/>
          <w:sz w:val="24"/>
          <w:szCs w:val="24"/>
        </w:rPr>
        <w:t xml:space="preserve"> format.  Comprehension of written material is demonstrated with summary and application.</w:t>
      </w:r>
    </w:p>
    <w:p w:rsidR="0035240C" w:rsidRDefault="0035240C" w:rsidP="0035240C">
      <w:r>
        <w:t xml:space="preserve"> </w:t>
      </w:r>
    </w:p>
    <w:p w:rsidR="009E57A8" w:rsidRPr="00FB3A89" w:rsidRDefault="00963CFC" w:rsidP="00963CFC">
      <w:pPr>
        <w:jc w:val="center"/>
        <w:rPr>
          <w:b/>
        </w:rPr>
      </w:pPr>
      <w:r w:rsidRPr="00FB3A89">
        <w:rPr>
          <w:b/>
          <w:highlight w:val="yellow"/>
        </w:rPr>
        <w:t>WRITTEN COMMUNICATION CORE COMPETENCY RUBRIC</w:t>
      </w:r>
    </w:p>
    <w:p w:rsidR="00963CFC" w:rsidRDefault="00963CFC" w:rsidP="00963CFC">
      <w:pPr>
        <w:spacing w:after="0" w:line="240" w:lineRule="auto"/>
        <w:rPr>
          <w:sz w:val="20"/>
          <w:szCs w:val="20"/>
        </w:rPr>
      </w:pPr>
      <w:r>
        <w:rPr>
          <w:sz w:val="20"/>
          <w:szCs w:val="20"/>
        </w:rPr>
        <w:t>Written communication is the development and expression of ideas in writing.  Written communication involves learning to work in many genres and styles as well as working with many different writing technologies mixing texts with data and images.  Written communication abilities develop through interactive experiences across the curriculum.</w:t>
      </w:r>
    </w:p>
    <w:p w:rsidR="00963CFC" w:rsidRDefault="00963CFC" w:rsidP="00963CFC">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963CFC" w:rsidTr="00836C68">
        <w:tc>
          <w:tcPr>
            <w:tcW w:w="2878" w:type="dxa"/>
          </w:tcPr>
          <w:p w:rsidR="00963CFC" w:rsidRDefault="00963CFC" w:rsidP="00963CFC">
            <w:pPr>
              <w:rPr>
                <w:sz w:val="20"/>
                <w:szCs w:val="20"/>
              </w:rPr>
            </w:pPr>
          </w:p>
        </w:tc>
        <w:tc>
          <w:tcPr>
            <w:tcW w:w="2878" w:type="dxa"/>
            <w:vAlign w:val="center"/>
          </w:tcPr>
          <w:p w:rsidR="00963CFC" w:rsidRDefault="00963CFC" w:rsidP="00836C68">
            <w:pPr>
              <w:jc w:val="center"/>
              <w:rPr>
                <w:sz w:val="20"/>
                <w:szCs w:val="20"/>
              </w:rPr>
            </w:pPr>
            <w:r>
              <w:rPr>
                <w:sz w:val="20"/>
                <w:szCs w:val="20"/>
              </w:rPr>
              <w:t>Exemplary</w:t>
            </w:r>
          </w:p>
        </w:tc>
        <w:tc>
          <w:tcPr>
            <w:tcW w:w="2878" w:type="dxa"/>
            <w:vAlign w:val="center"/>
          </w:tcPr>
          <w:p w:rsidR="00963CFC" w:rsidRDefault="00963CFC" w:rsidP="00836C68">
            <w:pPr>
              <w:jc w:val="center"/>
              <w:rPr>
                <w:sz w:val="20"/>
                <w:szCs w:val="20"/>
              </w:rPr>
            </w:pPr>
            <w:r>
              <w:rPr>
                <w:sz w:val="20"/>
                <w:szCs w:val="20"/>
              </w:rPr>
              <w:t>Acceptable</w:t>
            </w:r>
          </w:p>
        </w:tc>
        <w:tc>
          <w:tcPr>
            <w:tcW w:w="2878" w:type="dxa"/>
            <w:vAlign w:val="center"/>
          </w:tcPr>
          <w:p w:rsidR="00963CFC" w:rsidRDefault="00963CFC" w:rsidP="00836C68">
            <w:pPr>
              <w:jc w:val="center"/>
              <w:rPr>
                <w:sz w:val="20"/>
                <w:szCs w:val="20"/>
              </w:rPr>
            </w:pPr>
            <w:r>
              <w:rPr>
                <w:sz w:val="20"/>
                <w:szCs w:val="20"/>
              </w:rPr>
              <w:t>Developing</w:t>
            </w:r>
          </w:p>
        </w:tc>
        <w:tc>
          <w:tcPr>
            <w:tcW w:w="2878" w:type="dxa"/>
            <w:vAlign w:val="center"/>
          </w:tcPr>
          <w:p w:rsidR="00963CFC" w:rsidRDefault="00836C68" w:rsidP="00836C68">
            <w:pPr>
              <w:jc w:val="center"/>
              <w:rPr>
                <w:sz w:val="20"/>
                <w:szCs w:val="20"/>
              </w:rPr>
            </w:pPr>
            <w:r>
              <w:rPr>
                <w:sz w:val="20"/>
                <w:szCs w:val="20"/>
              </w:rPr>
              <w:t>Below Expectations</w:t>
            </w:r>
          </w:p>
        </w:tc>
      </w:tr>
      <w:tr w:rsidR="00836C68" w:rsidTr="00836C68">
        <w:tc>
          <w:tcPr>
            <w:tcW w:w="2878" w:type="dxa"/>
          </w:tcPr>
          <w:p w:rsidR="00836C68" w:rsidRPr="00836C68" w:rsidRDefault="00836C68" w:rsidP="0035240C">
            <w:pPr>
              <w:rPr>
                <w:sz w:val="20"/>
                <w:szCs w:val="20"/>
              </w:rPr>
            </w:pPr>
            <w:r>
              <w:rPr>
                <w:b/>
                <w:sz w:val="20"/>
                <w:szCs w:val="20"/>
              </w:rPr>
              <w:t>Content of Purpose for Writing</w:t>
            </w:r>
            <w:r>
              <w:rPr>
                <w:sz w:val="20"/>
                <w:szCs w:val="20"/>
              </w:rPr>
              <w:t xml:space="preserve"> </w:t>
            </w:r>
          </w:p>
        </w:tc>
        <w:tc>
          <w:tcPr>
            <w:tcW w:w="2878" w:type="dxa"/>
          </w:tcPr>
          <w:p w:rsidR="00836C68" w:rsidRDefault="00836C68" w:rsidP="00FA35D0">
            <w:pPr>
              <w:rPr>
                <w:sz w:val="20"/>
                <w:szCs w:val="20"/>
              </w:rPr>
            </w:pPr>
            <w:r>
              <w:rPr>
                <w:sz w:val="20"/>
                <w:szCs w:val="20"/>
              </w:rPr>
              <w:t xml:space="preserve">Demonstrates </w:t>
            </w:r>
            <w:r w:rsidRPr="00836C68">
              <w:rPr>
                <w:sz w:val="20"/>
                <w:szCs w:val="20"/>
                <w:u w:val="single"/>
              </w:rPr>
              <w:t>thorough</w:t>
            </w:r>
            <w:r>
              <w:rPr>
                <w:sz w:val="20"/>
                <w:szCs w:val="20"/>
              </w:rPr>
              <w:t xml:space="preserve"> understanding of</w:t>
            </w:r>
            <w:r w:rsidR="00FA35D0">
              <w:rPr>
                <w:sz w:val="20"/>
                <w:szCs w:val="20"/>
              </w:rPr>
              <w:t xml:space="preserve"> context, audience, and purpose.</w:t>
            </w:r>
          </w:p>
        </w:tc>
        <w:tc>
          <w:tcPr>
            <w:tcW w:w="2878" w:type="dxa"/>
          </w:tcPr>
          <w:p w:rsidR="00836C68" w:rsidRDefault="00836C68" w:rsidP="00FA35D0">
            <w:pPr>
              <w:rPr>
                <w:sz w:val="20"/>
                <w:szCs w:val="20"/>
              </w:rPr>
            </w:pPr>
            <w:r>
              <w:rPr>
                <w:sz w:val="20"/>
                <w:szCs w:val="20"/>
              </w:rPr>
              <w:t xml:space="preserve">Demonstrates </w:t>
            </w:r>
            <w:r w:rsidRPr="00836C68">
              <w:rPr>
                <w:sz w:val="20"/>
                <w:szCs w:val="20"/>
                <w:u w:val="single"/>
              </w:rPr>
              <w:t>adequate</w:t>
            </w:r>
            <w:r>
              <w:rPr>
                <w:sz w:val="20"/>
                <w:szCs w:val="20"/>
              </w:rPr>
              <w:t xml:space="preserve"> consideration of context, audience, and purpose</w:t>
            </w:r>
            <w:r w:rsidR="00FA35D0">
              <w:rPr>
                <w:sz w:val="20"/>
                <w:szCs w:val="20"/>
              </w:rPr>
              <w:t>.</w:t>
            </w:r>
            <w:r>
              <w:rPr>
                <w:sz w:val="20"/>
                <w:szCs w:val="20"/>
              </w:rPr>
              <w:t xml:space="preserve"> </w:t>
            </w:r>
          </w:p>
        </w:tc>
        <w:tc>
          <w:tcPr>
            <w:tcW w:w="2878" w:type="dxa"/>
          </w:tcPr>
          <w:p w:rsidR="00836C68" w:rsidRDefault="00836C68" w:rsidP="00FA35D0">
            <w:pPr>
              <w:rPr>
                <w:sz w:val="20"/>
                <w:szCs w:val="20"/>
              </w:rPr>
            </w:pPr>
            <w:r>
              <w:rPr>
                <w:sz w:val="20"/>
                <w:szCs w:val="20"/>
              </w:rPr>
              <w:t xml:space="preserve">Demonstrates </w:t>
            </w:r>
            <w:r w:rsidRPr="00836C68">
              <w:rPr>
                <w:sz w:val="20"/>
                <w:szCs w:val="20"/>
                <w:u w:val="single"/>
              </w:rPr>
              <w:t>awareness</w:t>
            </w:r>
            <w:r>
              <w:rPr>
                <w:sz w:val="20"/>
                <w:szCs w:val="20"/>
              </w:rPr>
              <w:t xml:space="preserve"> of</w:t>
            </w:r>
            <w:r w:rsidR="00FA35D0">
              <w:rPr>
                <w:sz w:val="20"/>
                <w:szCs w:val="20"/>
              </w:rPr>
              <w:t xml:space="preserve"> context, audience, and purpose.</w:t>
            </w:r>
          </w:p>
        </w:tc>
        <w:tc>
          <w:tcPr>
            <w:tcW w:w="2878" w:type="dxa"/>
          </w:tcPr>
          <w:p w:rsidR="00836C68" w:rsidRDefault="00836C68" w:rsidP="00FA35D0">
            <w:pPr>
              <w:rPr>
                <w:sz w:val="20"/>
                <w:szCs w:val="20"/>
              </w:rPr>
            </w:pPr>
            <w:r>
              <w:rPr>
                <w:sz w:val="20"/>
                <w:szCs w:val="20"/>
              </w:rPr>
              <w:t xml:space="preserve">Demonstrates </w:t>
            </w:r>
            <w:r w:rsidRPr="00836C68">
              <w:rPr>
                <w:sz w:val="20"/>
                <w:szCs w:val="20"/>
                <w:u w:val="single"/>
              </w:rPr>
              <w:t>minimal attention</w:t>
            </w:r>
            <w:r>
              <w:rPr>
                <w:sz w:val="20"/>
                <w:szCs w:val="20"/>
              </w:rPr>
              <w:t xml:space="preserve"> to</w:t>
            </w:r>
            <w:r w:rsidR="00FA35D0">
              <w:rPr>
                <w:sz w:val="20"/>
                <w:szCs w:val="20"/>
              </w:rPr>
              <w:t xml:space="preserve"> context, audience, and purpose.</w:t>
            </w:r>
          </w:p>
        </w:tc>
      </w:tr>
      <w:tr w:rsidR="00836C68" w:rsidTr="00836C68">
        <w:tc>
          <w:tcPr>
            <w:tcW w:w="2878" w:type="dxa"/>
          </w:tcPr>
          <w:p w:rsidR="00836C68" w:rsidRPr="00836C68" w:rsidRDefault="00836C68" w:rsidP="00836C68">
            <w:pPr>
              <w:rPr>
                <w:sz w:val="20"/>
                <w:szCs w:val="20"/>
              </w:rPr>
            </w:pPr>
            <w:r>
              <w:rPr>
                <w:b/>
                <w:sz w:val="20"/>
                <w:szCs w:val="20"/>
              </w:rPr>
              <w:t>Content Development</w:t>
            </w:r>
          </w:p>
        </w:tc>
        <w:tc>
          <w:tcPr>
            <w:tcW w:w="2878" w:type="dxa"/>
          </w:tcPr>
          <w:p w:rsidR="00836C68" w:rsidRDefault="002E0C02" w:rsidP="00836C68">
            <w:pPr>
              <w:rPr>
                <w:sz w:val="20"/>
                <w:szCs w:val="20"/>
              </w:rPr>
            </w:pPr>
            <w:r>
              <w:rPr>
                <w:sz w:val="20"/>
                <w:szCs w:val="20"/>
              </w:rPr>
              <w:t xml:space="preserve">Uses appropriate, relevant, and compelling content to </w:t>
            </w:r>
            <w:r w:rsidRPr="002E0C02">
              <w:rPr>
                <w:sz w:val="20"/>
                <w:szCs w:val="20"/>
                <w:u w:val="single"/>
              </w:rPr>
              <w:t>illustrate</w:t>
            </w:r>
            <w:r>
              <w:rPr>
                <w:sz w:val="20"/>
                <w:szCs w:val="20"/>
              </w:rPr>
              <w:t xml:space="preserve"> </w:t>
            </w:r>
            <w:r w:rsidRPr="002E0C02">
              <w:rPr>
                <w:sz w:val="20"/>
                <w:szCs w:val="20"/>
                <w:u w:val="single"/>
              </w:rPr>
              <w:t>mastery of subject</w:t>
            </w:r>
            <w:r>
              <w:rPr>
                <w:sz w:val="20"/>
                <w:szCs w:val="20"/>
              </w:rPr>
              <w:t>, conveying the writer’s understanding and shaping of the document.</w:t>
            </w:r>
          </w:p>
        </w:tc>
        <w:tc>
          <w:tcPr>
            <w:tcW w:w="2878" w:type="dxa"/>
          </w:tcPr>
          <w:p w:rsidR="00836C68" w:rsidRDefault="002E0C02" w:rsidP="00836C68">
            <w:pPr>
              <w:rPr>
                <w:sz w:val="20"/>
                <w:szCs w:val="20"/>
              </w:rPr>
            </w:pPr>
            <w:r>
              <w:rPr>
                <w:sz w:val="20"/>
                <w:szCs w:val="20"/>
              </w:rPr>
              <w:t xml:space="preserve">Uses appropriate, relevant, and compelling content to </w:t>
            </w:r>
            <w:r w:rsidRPr="002E0C02">
              <w:rPr>
                <w:sz w:val="20"/>
                <w:szCs w:val="20"/>
                <w:u w:val="single"/>
              </w:rPr>
              <w:t>explore ideas within the content</w:t>
            </w:r>
            <w:r>
              <w:rPr>
                <w:sz w:val="20"/>
                <w:szCs w:val="20"/>
              </w:rPr>
              <w:t xml:space="preserve"> of the subject while shaping the document</w:t>
            </w:r>
          </w:p>
        </w:tc>
        <w:tc>
          <w:tcPr>
            <w:tcW w:w="2878" w:type="dxa"/>
          </w:tcPr>
          <w:p w:rsidR="00836C68" w:rsidRDefault="002E0C02" w:rsidP="00836C68">
            <w:pPr>
              <w:rPr>
                <w:sz w:val="20"/>
                <w:szCs w:val="20"/>
              </w:rPr>
            </w:pPr>
            <w:r>
              <w:rPr>
                <w:sz w:val="20"/>
                <w:szCs w:val="20"/>
              </w:rPr>
              <w:t xml:space="preserve">Uses appropriate, relevant content to </w:t>
            </w:r>
            <w:r w:rsidRPr="002E0C02">
              <w:rPr>
                <w:sz w:val="20"/>
                <w:szCs w:val="20"/>
                <w:u w:val="single"/>
              </w:rPr>
              <w:t>develop and explore ideas through most</w:t>
            </w:r>
            <w:r>
              <w:rPr>
                <w:sz w:val="20"/>
                <w:szCs w:val="20"/>
              </w:rPr>
              <w:t xml:space="preserve"> of the work of the document</w:t>
            </w:r>
          </w:p>
        </w:tc>
        <w:tc>
          <w:tcPr>
            <w:tcW w:w="2878" w:type="dxa"/>
          </w:tcPr>
          <w:p w:rsidR="00836C68" w:rsidRPr="002E0C02" w:rsidRDefault="00FA35D0" w:rsidP="00FA35D0">
            <w:pPr>
              <w:rPr>
                <w:sz w:val="20"/>
                <w:szCs w:val="20"/>
              </w:rPr>
            </w:pPr>
            <w:r>
              <w:rPr>
                <w:sz w:val="20"/>
                <w:szCs w:val="20"/>
              </w:rPr>
              <w:t>Lacks use of</w:t>
            </w:r>
            <w:r w:rsidR="002E0C02">
              <w:rPr>
                <w:sz w:val="20"/>
                <w:szCs w:val="20"/>
              </w:rPr>
              <w:t xml:space="preserve"> appropriate, relevant content to </w:t>
            </w:r>
            <w:r w:rsidR="002E0C02" w:rsidRPr="002E0C02">
              <w:rPr>
                <w:sz w:val="20"/>
                <w:szCs w:val="20"/>
                <w:u w:val="single"/>
              </w:rPr>
              <w:t>develop</w:t>
            </w:r>
            <w:r w:rsidR="002E0C02">
              <w:rPr>
                <w:sz w:val="20"/>
                <w:szCs w:val="20"/>
                <w:u w:val="single"/>
              </w:rPr>
              <w:t xml:space="preserve"> simple</w:t>
            </w:r>
            <w:r w:rsidR="002E0C02">
              <w:rPr>
                <w:sz w:val="20"/>
                <w:szCs w:val="20"/>
              </w:rPr>
              <w:t xml:space="preserve"> ideas in the document</w:t>
            </w:r>
          </w:p>
        </w:tc>
      </w:tr>
      <w:tr w:rsidR="002E0C02" w:rsidTr="00836C68">
        <w:tc>
          <w:tcPr>
            <w:tcW w:w="2878" w:type="dxa"/>
          </w:tcPr>
          <w:p w:rsidR="002E0C02" w:rsidRPr="002E0C02" w:rsidRDefault="002E0C02" w:rsidP="00836C68">
            <w:pPr>
              <w:rPr>
                <w:sz w:val="20"/>
                <w:szCs w:val="20"/>
              </w:rPr>
            </w:pPr>
            <w:r>
              <w:rPr>
                <w:b/>
                <w:sz w:val="20"/>
                <w:szCs w:val="20"/>
              </w:rPr>
              <w:t>Syntax and Mechanics</w:t>
            </w:r>
          </w:p>
        </w:tc>
        <w:tc>
          <w:tcPr>
            <w:tcW w:w="2878" w:type="dxa"/>
          </w:tcPr>
          <w:p w:rsidR="002E0C02" w:rsidRDefault="002E0C02" w:rsidP="00B732D7">
            <w:pPr>
              <w:rPr>
                <w:sz w:val="20"/>
                <w:szCs w:val="20"/>
              </w:rPr>
            </w:pPr>
            <w:r>
              <w:rPr>
                <w:sz w:val="20"/>
                <w:szCs w:val="20"/>
              </w:rPr>
              <w:t xml:space="preserve">Uses English language </w:t>
            </w:r>
            <w:r w:rsidRPr="003006CE">
              <w:rPr>
                <w:sz w:val="20"/>
                <w:szCs w:val="20"/>
                <w:u w:val="single"/>
              </w:rPr>
              <w:t>skillfully</w:t>
            </w:r>
            <w:r w:rsidR="003006CE" w:rsidRPr="003006CE">
              <w:rPr>
                <w:sz w:val="20"/>
                <w:szCs w:val="20"/>
                <w:u w:val="single"/>
              </w:rPr>
              <w:t xml:space="preserve"> communicating meaning</w:t>
            </w:r>
            <w:r w:rsidR="003006CE">
              <w:rPr>
                <w:sz w:val="20"/>
                <w:szCs w:val="20"/>
              </w:rPr>
              <w:t xml:space="preserve"> to readers with clarity and fluency, and is error-free.</w:t>
            </w:r>
          </w:p>
        </w:tc>
        <w:tc>
          <w:tcPr>
            <w:tcW w:w="2878" w:type="dxa"/>
          </w:tcPr>
          <w:p w:rsidR="002E0C02" w:rsidRDefault="003006CE" w:rsidP="00B732D7">
            <w:pPr>
              <w:rPr>
                <w:sz w:val="20"/>
                <w:szCs w:val="20"/>
              </w:rPr>
            </w:pPr>
            <w:r>
              <w:rPr>
                <w:sz w:val="20"/>
                <w:szCs w:val="20"/>
              </w:rPr>
              <w:t xml:space="preserve">Uses </w:t>
            </w:r>
            <w:r w:rsidR="00B732D7">
              <w:rPr>
                <w:sz w:val="20"/>
                <w:szCs w:val="20"/>
              </w:rPr>
              <w:t>standard</w:t>
            </w:r>
            <w:r>
              <w:rPr>
                <w:sz w:val="20"/>
                <w:szCs w:val="20"/>
              </w:rPr>
              <w:t xml:space="preserve"> English language that </w:t>
            </w:r>
            <w:r w:rsidRPr="003006CE">
              <w:rPr>
                <w:sz w:val="20"/>
                <w:szCs w:val="20"/>
                <w:u w:val="single"/>
              </w:rPr>
              <w:t>generally conveys meaning</w:t>
            </w:r>
            <w:r>
              <w:rPr>
                <w:sz w:val="20"/>
                <w:szCs w:val="20"/>
              </w:rPr>
              <w:t xml:space="preserve"> to readers with clarity with few errors</w:t>
            </w:r>
            <w:r w:rsidR="00B732D7">
              <w:rPr>
                <w:sz w:val="20"/>
                <w:szCs w:val="20"/>
              </w:rPr>
              <w:t xml:space="preserve"> (less than five)</w:t>
            </w:r>
            <w:r>
              <w:rPr>
                <w:sz w:val="20"/>
                <w:szCs w:val="20"/>
              </w:rPr>
              <w:t>.</w:t>
            </w:r>
          </w:p>
        </w:tc>
        <w:tc>
          <w:tcPr>
            <w:tcW w:w="2878" w:type="dxa"/>
          </w:tcPr>
          <w:p w:rsidR="002E0C02" w:rsidRDefault="003006CE" w:rsidP="00B732D7">
            <w:pPr>
              <w:rPr>
                <w:sz w:val="20"/>
                <w:szCs w:val="20"/>
              </w:rPr>
            </w:pPr>
            <w:r>
              <w:rPr>
                <w:sz w:val="20"/>
                <w:szCs w:val="20"/>
              </w:rPr>
              <w:t xml:space="preserve">Uses </w:t>
            </w:r>
            <w:r w:rsidR="00B732D7">
              <w:rPr>
                <w:sz w:val="20"/>
                <w:szCs w:val="20"/>
              </w:rPr>
              <w:t>standard</w:t>
            </w:r>
            <w:r>
              <w:rPr>
                <w:sz w:val="20"/>
                <w:szCs w:val="20"/>
              </w:rPr>
              <w:t xml:space="preserve"> English language that generally conveys meaning to </w:t>
            </w:r>
            <w:r w:rsidR="009204C6">
              <w:rPr>
                <w:sz w:val="20"/>
                <w:szCs w:val="20"/>
              </w:rPr>
              <w:t>readers although</w:t>
            </w:r>
            <w:r w:rsidRPr="00235283">
              <w:rPr>
                <w:sz w:val="20"/>
                <w:szCs w:val="20"/>
              </w:rPr>
              <w:t xml:space="preserve"> </w:t>
            </w:r>
            <w:r w:rsidR="00235283">
              <w:rPr>
                <w:sz w:val="20"/>
                <w:szCs w:val="20"/>
                <w:u w:val="single"/>
              </w:rPr>
              <w:t>lacking</w:t>
            </w:r>
            <w:r w:rsidRPr="003006CE">
              <w:rPr>
                <w:sz w:val="20"/>
                <w:szCs w:val="20"/>
                <w:u w:val="single"/>
              </w:rPr>
              <w:t xml:space="preserve"> complete clarity</w:t>
            </w:r>
            <w:r>
              <w:rPr>
                <w:sz w:val="20"/>
                <w:szCs w:val="20"/>
              </w:rPr>
              <w:t xml:space="preserve"> and includes multiple errors</w:t>
            </w:r>
            <w:r w:rsidR="00F86F0B">
              <w:rPr>
                <w:sz w:val="20"/>
                <w:szCs w:val="20"/>
              </w:rPr>
              <w:t xml:space="preserve"> (more than five).</w:t>
            </w:r>
          </w:p>
        </w:tc>
        <w:tc>
          <w:tcPr>
            <w:tcW w:w="2878" w:type="dxa"/>
          </w:tcPr>
          <w:p w:rsidR="002E0C02" w:rsidRDefault="003006CE" w:rsidP="003006CE">
            <w:pPr>
              <w:rPr>
                <w:sz w:val="20"/>
                <w:szCs w:val="20"/>
              </w:rPr>
            </w:pPr>
            <w:r>
              <w:rPr>
                <w:sz w:val="20"/>
                <w:szCs w:val="20"/>
              </w:rPr>
              <w:t xml:space="preserve">Use of English language which sometimes </w:t>
            </w:r>
            <w:r w:rsidRPr="003006CE">
              <w:rPr>
                <w:sz w:val="20"/>
                <w:szCs w:val="20"/>
                <w:u w:val="single"/>
              </w:rPr>
              <w:t>impedes meaning</w:t>
            </w:r>
            <w:r>
              <w:rPr>
                <w:sz w:val="20"/>
                <w:szCs w:val="20"/>
              </w:rPr>
              <w:t xml:space="preserve"> due to errors in usage</w:t>
            </w:r>
          </w:p>
        </w:tc>
      </w:tr>
      <w:tr w:rsidR="003006CE" w:rsidTr="00836C68">
        <w:tc>
          <w:tcPr>
            <w:tcW w:w="2878" w:type="dxa"/>
          </w:tcPr>
          <w:p w:rsidR="003006CE" w:rsidRPr="003006CE" w:rsidRDefault="003006CE" w:rsidP="00836C68">
            <w:pPr>
              <w:rPr>
                <w:sz w:val="20"/>
                <w:szCs w:val="20"/>
              </w:rPr>
            </w:pPr>
            <w:r>
              <w:rPr>
                <w:b/>
                <w:sz w:val="20"/>
                <w:szCs w:val="20"/>
              </w:rPr>
              <w:t>Sources and Evidence</w:t>
            </w:r>
          </w:p>
        </w:tc>
        <w:tc>
          <w:tcPr>
            <w:tcW w:w="2878" w:type="dxa"/>
          </w:tcPr>
          <w:p w:rsidR="003006CE" w:rsidRDefault="003006CE" w:rsidP="003006CE">
            <w:pPr>
              <w:rPr>
                <w:sz w:val="20"/>
                <w:szCs w:val="20"/>
              </w:rPr>
            </w:pPr>
            <w:r>
              <w:rPr>
                <w:sz w:val="20"/>
                <w:szCs w:val="20"/>
              </w:rPr>
              <w:t xml:space="preserve">Demonstrates </w:t>
            </w:r>
            <w:r w:rsidRPr="003006CE">
              <w:rPr>
                <w:sz w:val="20"/>
                <w:szCs w:val="20"/>
                <w:u w:val="single"/>
              </w:rPr>
              <w:t>skillful</w:t>
            </w:r>
            <w:r>
              <w:rPr>
                <w:sz w:val="20"/>
                <w:szCs w:val="20"/>
              </w:rPr>
              <w:t xml:space="preserve"> use of </w:t>
            </w:r>
            <w:r w:rsidRPr="0035240C">
              <w:rPr>
                <w:b/>
                <w:sz w:val="20"/>
                <w:szCs w:val="20"/>
              </w:rPr>
              <w:t>high quality, credible, relevant</w:t>
            </w:r>
            <w:r>
              <w:rPr>
                <w:sz w:val="20"/>
                <w:szCs w:val="20"/>
              </w:rPr>
              <w:t xml:space="preserve"> sources to develop ideas that are appropriate for the assigned task(s)</w:t>
            </w:r>
          </w:p>
        </w:tc>
        <w:tc>
          <w:tcPr>
            <w:tcW w:w="2878" w:type="dxa"/>
          </w:tcPr>
          <w:p w:rsidR="003006CE" w:rsidRDefault="003006CE" w:rsidP="00836C68">
            <w:pPr>
              <w:rPr>
                <w:sz w:val="20"/>
                <w:szCs w:val="20"/>
              </w:rPr>
            </w:pPr>
            <w:r>
              <w:rPr>
                <w:sz w:val="20"/>
                <w:szCs w:val="20"/>
              </w:rPr>
              <w:t xml:space="preserve">Demonstrates </w:t>
            </w:r>
            <w:r w:rsidRPr="003006CE">
              <w:rPr>
                <w:sz w:val="20"/>
                <w:szCs w:val="20"/>
                <w:u w:val="single"/>
              </w:rPr>
              <w:t>consistent</w:t>
            </w:r>
            <w:r>
              <w:rPr>
                <w:sz w:val="20"/>
                <w:szCs w:val="20"/>
              </w:rPr>
              <w:t xml:space="preserve"> use of </w:t>
            </w:r>
            <w:r w:rsidRPr="0035240C">
              <w:rPr>
                <w:b/>
                <w:sz w:val="20"/>
                <w:szCs w:val="20"/>
              </w:rPr>
              <w:t>credible, relevant</w:t>
            </w:r>
            <w:r>
              <w:rPr>
                <w:sz w:val="20"/>
                <w:szCs w:val="20"/>
              </w:rPr>
              <w:t xml:space="preserve"> sources to develop ideas that are appropriate for the assigned task(s)</w:t>
            </w:r>
          </w:p>
        </w:tc>
        <w:tc>
          <w:tcPr>
            <w:tcW w:w="2878" w:type="dxa"/>
          </w:tcPr>
          <w:p w:rsidR="003006CE" w:rsidRDefault="003006CE" w:rsidP="003006CE">
            <w:pPr>
              <w:rPr>
                <w:sz w:val="20"/>
                <w:szCs w:val="20"/>
              </w:rPr>
            </w:pPr>
            <w:r>
              <w:rPr>
                <w:sz w:val="20"/>
                <w:szCs w:val="20"/>
              </w:rPr>
              <w:t xml:space="preserve">Demonstrates </w:t>
            </w:r>
            <w:r w:rsidRPr="003006CE">
              <w:rPr>
                <w:sz w:val="20"/>
                <w:szCs w:val="20"/>
                <w:u w:val="single"/>
              </w:rPr>
              <w:t>an attempt</w:t>
            </w:r>
            <w:r>
              <w:rPr>
                <w:sz w:val="20"/>
                <w:szCs w:val="20"/>
              </w:rPr>
              <w:t xml:space="preserve"> to use </w:t>
            </w:r>
            <w:r w:rsidRPr="0035240C">
              <w:rPr>
                <w:b/>
                <w:sz w:val="20"/>
                <w:szCs w:val="20"/>
              </w:rPr>
              <w:t>credible and/or relevant</w:t>
            </w:r>
            <w:r>
              <w:rPr>
                <w:sz w:val="20"/>
                <w:szCs w:val="20"/>
              </w:rPr>
              <w:t xml:space="preserve"> sources to develop ideas that are appropriate for the assigned task(s)</w:t>
            </w:r>
          </w:p>
        </w:tc>
        <w:tc>
          <w:tcPr>
            <w:tcW w:w="2878" w:type="dxa"/>
          </w:tcPr>
          <w:p w:rsidR="003006CE" w:rsidRDefault="00B732D7" w:rsidP="00B732D7">
            <w:pPr>
              <w:rPr>
                <w:sz w:val="20"/>
                <w:szCs w:val="20"/>
              </w:rPr>
            </w:pPr>
            <w:r>
              <w:rPr>
                <w:sz w:val="20"/>
                <w:szCs w:val="20"/>
              </w:rPr>
              <w:t>Lacks demonstration of</w:t>
            </w:r>
            <w:r w:rsidR="0035240C">
              <w:rPr>
                <w:sz w:val="20"/>
                <w:szCs w:val="20"/>
              </w:rPr>
              <w:t xml:space="preserve"> </w:t>
            </w:r>
            <w:r w:rsidR="0035240C" w:rsidRPr="003006CE">
              <w:rPr>
                <w:sz w:val="20"/>
                <w:szCs w:val="20"/>
                <w:u w:val="single"/>
              </w:rPr>
              <w:t>an attempt</w:t>
            </w:r>
            <w:r w:rsidR="0035240C">
              <w:rPr>
                <w:sz w:val="20"/>
                <w:szCs w:val="20"/>
              </w:rPr>
              <w:t xml:space="preserve"> to use </w:t>
            </w:r>
            <w:r w:rsidR="0035240C" w:rsidRPr="0035240C">
              <w:rPr>
                <w:b/>
                <w:sz w:val="20"/>
                <w:szCs w:val="20"/>
              </w:rPr>
              <w:t>sources</w:t>
            </w:r>
            <w:r w:rsidR="0035240C">
              <w:rPr>
                <w:sz w:val="20"/>
                <w:szCs w:val="20"/>
              </w:rPr>
              <w:t xml:space="preserve"> to support ideas used in completion of task(s)</w:t>
            </w:r>
          </w:p>
        </w:tc>
      </w:tr>
    </w:tbl>
    <w:p w:rsidR="00963CFC" w:rsidRPr="00963CFC" w:rsidRDefault="00963CFC" w:rsidP="00963CFC">
      <w:pPr>
        <w:spacing w:after="0" w:line="240" w:lineRule="auto"/>
        <w:rPr>
          <w:sz w:val="20"/>
          <w:szCs w:val="20"/>
        </w:rPr>
      </w:pPr>
    </w:p>
    <w:sectPr w:rsidR="00963CFC" w:rsidRPr="00963CFC" w:rsidSect="00963CFC">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3C" w:rsidRDefault="0054133C" w:rsidP="00FB3A89">
      <w:pPr>
        <w:spacing w:after="0" w:line="240" w:lineRule="auto"/>
      </w:pPr>
      <w:r>
        <w:separator/>
      </w:r>
    </w:p>
  </w:endnote>
  <w:endnote w:type="continuationSeparator" w:id="0">
    <w:p w:rsidR="0054133C" w:rsidRDefault="0054133C" w:rsidP="00FB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89" w:rsidRDefault="00FB3A89">
    <w:pPr>
      <w:pStyle w:val="Footer"/>
    </w:pPr>
    <w:r>
      <w:t>Updated July 2019</w:t>
    </w:r>
  </w:p>
  <w:p w:rsidR="00FB3A89" w:rsidRDefault="00FB3A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3C" w:rsidRDefault="0054133C" w:rsidP="00FB3A89">
      <w:pPr>
        <w:spacing w:after="0" w:line="240" w:lineRule="auto"/>
      </w:pPr>
      <w:r>
        <w:separator/>
      </w:r>
    </w:p>
  </w:footnote>
  <w:footnote w:type="continuationSeparator" w:id="0">
    <w:p w:rsidR="0054133C" w:rsidRDefault="0054133C" w:rsidP="00FB3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FC"/>
    <w:rsid w:val="00235283"/>
    <w:rsid w:val="002E0C02"/>
    <w:rsid w:val="003006CE"/>
    <w:rsid w:val="0035240C"/>
    <w:rsid w:val="0054133C"/>
    <w:rsid w:val="006C2BED"/>
    <w:rsid w:val="00836C68"/>
    <w:rsid w:val="009204C6"/>
    <w:rsid w:val="00952E34"/>
    <w:rsid w:val="00963CFC"/>
    <w:rsid w:val="009E57A8"/>
    <w:rsid w:val="00B61085"/>
    <w:rsid w:val="00B732D7"/>
    <w:rsid w:val="00E80EDA"/>
    <w:rsid w:val="00F86F0B"/>
    <w:rsid w:val="00FA35D0"/>
    <w:rsid w:val="00FB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DB86"/>
  <w15:docId w15:val="{3D544851-AE1C-45E3-96A9-C78292C4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A89"/>
  </w:style>
  <w:style w:type="paragraph" w:styleId="Footer">
    <w:name w:val="footer"/>
    <w:basedOn w:val="Normal"/>
    <w:link w:val="FooterChar"/>
    <w:uiPriority w:val="99"/>
    <w:unhideWhenUsed/>
    <w:rsid w:val="00FB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Sander</dc:creator>
  <cp:lastModifiedBy>Windows User</cp:lastModifiedBy>
  <cp:revision>3</cp:revision>
  <dcterms:created xsi:type="dcterms:W3CDTF">2019-07-12T20:21:00Z</dcterms:created>
  <dcterms:modified xsi:type="dcterms:W3CDTF">2019-07-12T20:52:00Z</dcterms:modified>
</cp:coreProperties>
</file>