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357.0" w:type="dxa"/>
        <w:jc w:val="left"/>
        <w:tblInd w:w="-30.000000000000007" w:type="dxa"/>
        <w:tblLayout w:type="fixed"/>
        <w:tblLook w:val="0000"/>
      </w:tblPr>
      <w:tblGrid>
        <w:gridCol w:w="1111"/>
        <w:gridCol w:w="2699"/>
        <w:gridCol w:w="630"/>
        <w:gridCol w:w="1917"/>
        <w:tblGridChange w:id="0">
          <w:tblGrid>
            <w:gridCol w:w="1111"/>
            <w:gridCol w:w="2699"/>
            <w:gridCol w:w="630"/>
            <w:gridCol w:w="1917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Core Competency Identification Legend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WC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Written 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OC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Oral 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Problem Solving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Research and Information Literacy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PG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Personal Growth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GC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Global and Cultural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Engagement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Global and Cultural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Engagement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Core Competency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CC graduates will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demonstrate acknowledgment of cultural and societal influences, along with differences in races, nationalities, religions, and sexes; while recognizing that people have diverse backgrounds, attitudes, and experiences. </w:t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highlight w:val="yellow"/>
          <w:vertAlign w:val="baseline"/>
          <w:rtl w:val="0"/>
        </w:rPr>
        <w:t xml:space="preserve">GLOBAL AND CULTURAL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ENGAGEMENT</w:t>
      </w:r>
      <w:r w:rsidDel="00000000" w:rsidR="00000000" w:rsidRPr="00000000">
        <w:rPr>
          <w:color w:val="000000"/>
          <w:sz w:val="24"/>
          <w:szCs w:val="24"/>
          <w:highlight w:val="yellow"/>
          <w:vertAlign w:val="baseline"/>
          <w:rtl w:val="0"/>
        </w:rPr>
        <w:t xml:space="preserve"> CORE COMPETENCY RUBRIC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center"/>
        <w:rPr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Opportunity to be exposed to and/or experience others’ beliefs, attitudes, values, and cultures through multiple facets of the college experience.</w:t>
      </w:r>
    </w:p>
    <w:tbl>
      <w:tblPr>
        <w:tblStyle w:val="Table2"/>
        <w:tblW w:w="14394.0" w:type="dxa"/>
        <w:jc w:val="left"/>
        <w:tblInd w:w="5.0" w:type="dxa"/>
        <w:tblLayout w:type="fixed"/>
        <w:tblLook w:val="0000"/>
      </w:tblPr>
      <w:tblGrid>
        <w:gridCol w:w="2878"/>
        <w:gridCol w:w="2878"/>
        <w:gridCol w:w="2878"/>
        <w:gridCol w:w="2878"/>
        <w:gridCol w:w="2882"/>
        <w:tblGridChange w:id="0">
          <w:tblGrid>
            <w:gridCol w:w="2878"/>
            <w:gridCol w:w="2878"/>
            <w:gridCol w:w="2878"/>
            <w:gridCol w:w="2878"/>
            <w:gridCol w:w="2882"/>
          </w:tblGrid>
        </w:tblGridChange>
      </w:tblGrid>
      <w:tr>
        <w:trPr>
          <w:cantSplit w:val="0"/>
          <w:trHeight w:val="4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Criteria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Exemplary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Acceptable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Developing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Below Expectations</w:t>
            </w:r>
          </w:p>
        </w:tc>
      </w:tr>
      <w:tr>
        <w:trPr>
          <w:cantSplit w:val="0"/>
          <w:trHeight w:val="11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Identifies and explains the ways </w:t>
              <w:br w:type="textWrapping"/>
              <w:t xml:space="preserve">in which individuals, groups, and institutions influence society.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Draws from external sources the factors that bring change to society, and the way individuals and groups have been instrumental in bringing about change.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Draws from information given and own experiences the factors that bring change to society, and the way individuals and groups have been instrumental in bringing about change.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Draws from only personal experiences the factors that bring change to society, and the way individuals and groups have been instrumental in bringing about change.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Unable to conclude from given information or personal experiences the way people impact society.</w:t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Comprehends the need for inclusion of socio-economic, political and social dynamics of world cultures.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Demonstrates inclusion of socio-economic, political and social events to changes in world culture.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Discusses inclusion of socio-economic, political and social events that influence world culture.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Identifies inclusion of socio-economic, political and social events that influence world culture.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Unable to identify the impact of inclusion socio-economic, political and social factors on world cultures.</w:t>
            </w:r>
          </w:p>
        </w:tc>
      </w:tr>
      <w:tr>
        <w:trPr>
          <w:cantSplit w:val="0"/>
          <w:trHeight w:val="11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Identifies the impact of stereotypes and myths.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Creates ways/methods to dispel stereotypes and myths.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Identifies effects of stereotypes and myths on society.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Distinguishes between stereotype, myth, and cultural fact.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Unable to recognize the difference between stereotype, myth, and cultural fact.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Participation in the global society.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Makes decisions based upon information gathered from practices in other nations.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Recognizes the direct impact of other nations on one’s own social, political, and economic life.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Recognizes the broad impact of other nations on one’s own social, political, and economic life.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Unable to recognize the impact of other nations on one’s own social, political, and economical life.</w:t>
            </w:r>
          </w:p>
        </w:tc>
      </w:tr>
    </w:tbl>
    <w:p w:rsidR="00000000" w:rsidDel="00000000" w:rsidP="00000000" w:rsidRDefault="00000000" w:rsidRPr="00000000" w14:paraId="0000003C">
      <w:pPr>
        <w:rPr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2240" w:w="15840" w:orient="landscape"/>
      <w:pgMar w:bottom="288" w:top="288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  <w:tab/>
      <w:tab/>
      <w:tab/>
      <w:t xml:space="preserve">Updated February 2021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hWhZ7Ohz4FbIGTCeIsE/I505ow==">CgMxLjA4AHIhMUZOaW5sSFJXd1R3REQydU52R2NBMWdTaHktMS1PX3Na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